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муниципальное автономное дошкольное образовательное учреждение</w:t>
      </w:r>
      <w:r>
        <w:rPr>
          <w:rFonts w:ascii="Times New Roman" w:hAnsi="Times New Roman" w:cs="Times New Roman"/>
        </w:rPr>
      </w:r>
      <w:r/>
    </w:p>
    <w:p>
      <w:pPr>
        <w:pStyle w:val="8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Детский сад №46 компенсирующего вида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«Лучик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</w:t>
      </w:r>
      <w:r>
        <w:rPr>
          <w:rFonts w:ascii="Times New Roman" w:hAnsi="Times New Roman" w:cs="Times New Roman"/>
        </w:rPr>
      </w:r>
      <w:r/>
    </w:p>
    <w:p>
      <w:pPr>
        <w:pStyle w:val="842"/>
        <w:jc w:val="center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660135, г. Красноярск, ул. Взлетная, д. 22, тел. (391) 220-07-57, 228-09-15,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E-mail:</w:t>
      </w:r>
      <w:r>
        <w:fldChar w:fldCharType="begin"/>
      </w:r>
      <w:r>
        <w:instrText xml:space="preserve"> HYPERLINK "mailto:dou46@mailkrsk.ru" </w:instrText>
      </w:r>
      <w:r>
        <w:fldChar w:fldCharType="separate"/>
      </w:r>
      <w:r>
        <w:rPr>
          <w:rFonts w:ascii="Segoe UI"/>
          <w:color w:val="006699"/>
          <w:sz w:val="21"/>
          <w:highlight w:val="white"/>
          <w:u w:val="single"/>
          <w:rtl w:val="false"/>
          <w:lang w:val="en-US"/>
        </w:rPr>
        <w:t xml:space="preserve">dou46@mailkrsk.ru</w:t>
      </w:r>
      <w:r>
        <w:fldChar w:fldCharType="end"/>
      </w:r>
      <w:r>
        <w:rPr>
          <w:rFonts w:ascii="Segoe UI"/>
          <w:color w:val="000000"/>
          <w:sz w:val="18"/>
          <w:rtl w:val="false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</w:r>
      <w:r/>
    </w:p>
    <w:p>
      <w:pPr>
        <w:pStyle w:val="842"/>
        <w:jc w:val="center"/>
        <w:rPr>
          <w:rFonts w:ascii="Segoe UI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ОКПО 55925676</w:t>
        <w:tab/>
        <w:t xml:space="preserve"> ОГРН 1022402486380</w:t>
        <w:tab/>
        <w:t xml:space="preserve">ИНН/КПП 246504190/246501001</w:t>
      </w:r>
      <w:r>
        <w:rPr>
          <w:rFonts w:ascii="Segoe UI"/>
          <w:color w:val="000000"/>
          <w:lang w:val="en-US"/>
        </w:rPr>
      </w:r>
      <w:r/>
    </w:p>
    <w:p>
      <w:pPr>
        <w:pStyle w:val="842"/>
        <w:jc w:val="center"/>
        <w:rPr>
          <w:rFonts w:ascii="Segoe UI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___________________________________________________________________________</w:t>
      </w:r>
      <w:r>
        <w:rPr>
          <w:rFonts w:ascii="Segoe UI"/>
          <w:color w:val="000000"/>
          <w:lang w:val="en-US"/>
        </w:rPr>
      </w:r>
      <w:r/>
    </w:p>
    <w:p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jc w:val="center"/>
        <w:spacing w:after="0" w:afterAutospacing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Проект для старшего дошкольного возраста </w:t>
      </w:r>
      <w:r>
        <w:rPr>
          <w:sz w:val="28"/>
        </w:rPr>
      </w:r>
      <w:r/>
    </w:p>
    <w:p>
      <w:pPr>
        <w:jc w:val="center"/>
        <w:spacing w:after="0" w:afterAutospacing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</w:rPr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Мастерская  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Конструктиков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b/>
          <w:sz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jc w:val="center"/>
        <w:spacing w:after="0" w:after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по направлению </w:t>
      </w:r>
      <w:r>
        <w:rPr>
          <w:sz w:val="28"/>
        </w:rPr>
      </w:r>
      <w:r/>
    </w:p>
    <w:p>
      <w:pPr>
        <w:jc w:val="center"/>
        <w:spacing w:after="0" w:afterAutospacing="0"/>
      </w:pPr>
      <w:r>
        <w:rPr>
          <w:rFonts w:ascii="Times New Roman" w:hAnsi="Times New Roman" w:cs="Times New Roman" w:eastAsia="Times New Roman"/>
          <w:sz w:val="28"/>
        </w:rPr>
      </w:r>
      <w:r>
        <w:rPr>
          <w:rFonts w:ascii="Times New Roman" w:hAnsi="Times New Roman" w:cs="Times New Roman" w:eastAsia="Times New Roman"/>
          <w:b/>
          <w:sz w:val="28"/>
        </w:rPr>
        <w:t xml:space="preserve">«Развитие начал технического образования детей дошкольного возраста»</w:t>
      </w:r>
      <w:r/>
    </w:p>
    <w:p>
      <w:pPr>
        <w:jc w:val="center"/>
        <w:spacing w:after="0" w:afterAutospacing="0"/>
        <w:rPr>
          <w:rFonts w:ascii="Times New Roman" w:hAnsi="Times New Roman" w:cs="Times New Roman" w:eastAsia="Times New Roman"/>
          <w:sz w:val="36"/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jc w:val="center"/>
        <w:spacing w:after="0" w:afterAutospacing="0"/>
        <w:rPr>
          <w:highlight w:val="none"/>
        </w:rPr>
      </w:pPr>
      <w:r>
        <w:rPr>
          <w:rFonts w:ascii="Times New Roman" w:hAnsi="Times New Roman" w:cs="Times New Roman" w:eastAsia="Times New Roman"/>
          <w:sz w:val="28"/>
        </w:rPr>
        <w:t xml:space="preserve">Сроки реализации проекта: 01.09.2025 г.-31.05.2026 г.</w:t>
      </w:r>
      <w:r>
        <w:br w:type="page"/>
      </w:r>
      <w:r/>
    </w:p>
    <w:tbl>
      <w:tblPr>
        <w:tblStyle w:val="844"/>
        <w:tblpPr w:horzAnchor="text" w:tblpXSpec="left" w:vertAnchor="margin" w:tblpY="855" w:leftFromText="180" w:topFromText="0" w:rightFromText="180" w:bottomFromText="0"/>
        <w:tblW w:w="10031" w:type="dxa"/>
        <w:tblInd w:w="0" w:type="dxa"/>
        <w:tblLook w:val="04A0" w:firstRow="1" w:lastRow="0" w:firstColumn="1" w:lastColumn="0" w:noHBand="0" w:noVBand="1"/>
      </w:tblPr>
      <w:tblGrid>
        <w:gridCol w:w="2811"/>
        <w:gridCol w:w="7220"/>
      </w:tblGrid>
      <w:tr>
        <w:trPr>
          <w:trHeight w:val="68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11" w:type="dxa"/>
            <w:textDirection w:val="lrTb"/>
            <w:noWrap w:val="false"/>
          </w:tcPr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  <w:t xml:space="preserve">Название проекта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220" w:type="dxa"/>
            <w:textDirection w:val="lrTb"/>
            <w:noWrap w:val="false"/>
          </w:tcPr>
          <w:p>
            <w:p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outlineLvl w:val="1"/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Мастерская 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Конструктиков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68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11" w:type="dxa"/>
            <w:textDirection w:val="lrTb"/>
            <w:noWrap w:val="false"/>
          </w:tcPr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  <w:t xml:space="preserve">База реализации проекта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220" w:type="dxa"/>
            <w:textDirection w:val="lrTb"/>
            <w:noWrap w:val="false"/>
          </w:tcPr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МАДОУ № 46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68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11" w:type="dxa"/>
            <w:textDirection w:val="lrTb"/>
            <w:noWrap w:val="false"/>
          </w:tcPr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  <w:t xml:space="preserve">Цель проекта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220" w:type="dxa"/>
            <w:textDirection w:val="lrTb"/>
            <w:noWrap w:val="false"/>
          </w:tcPr>
          <w:p>
            <w:pPr>
              <w:pStyle w:val="842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Создание увлекательной образовательной среды, способствующей развитию технического мышления, конструкторских навыков, творческой инициативы и сотрудничества детей и в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зрослых в рамках детского сада.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68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1" w:type="dxa"/>
            <w:vMerge w:val="restart"/>
            <w:textDirection w:val="lrTb"/>
            <w:noWrap w:val="false"/>
          </w:tcPr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  <w:t xml:space="preserve">Актуальность проекта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0" w:type="dxa"/>
            <w:vMerge w:val="restart"/>
            <w:textDirection w:val="lrTb"/>
            <w:noWrap w:val="false"/>
          </w:tcPr>
          <w:p>
            <w:pPr>
              <w:contextualSpacing w:val="true"/>
              <w:ind w:left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В современном мире, характеризующемся стремительным развитием технологий, особую актуальность приобретает формирование у детей дошкольного возраста основ технического мышления и развитие интереса к инженерно-конструкторской деятельности.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contextualSpacing w:val="true"/>
              <w:ind w:left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  <w:t xml:space="preserve">Аргументы актуальности: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contextualSpacing w:val="true"/>
              <w:ind w:left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  <w:u w:val="single"/>
              </w:rPr>
              <w:t xml:space="preserve">Социально-экономический контекст: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 Стране необходимы квалифицированные кадры в области науки и техники. Формирование интереса к техническому творчеству с дошкольного возраста является важным фундаментом для будущих инженеров, конструкторов, изобретателей и 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исследователей.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contextualSpacing w:val="true"/>
              <w:ind w:left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  <w:u w:val="single"/>
              </w:rPr>
              <w:t xml:space="preserve">Федеральный государственный образовательный стандарт дошкольного образования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 (ФГОС 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ДО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): ФГОС ДО 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ориентирован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 на развитие у детей познавательной активности, самостоятельности, инициативы, творческих способностей, а также на формирование позитивного отношения к труду и техническому творчеству.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contextualSpacing w:val="true"/>
              <w:ind w:left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  <w:u w:val="single"/>
              </w:rPr>
              <w:t xml:space="preserve">Потребности детей: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Дети старшего дошкольного возраста обладают высоким уровнем любознательности, стремлением к экспериментированию и конструированию. Техническое творчество позволяет удовлетворить эти потребности, а также развить их интеллектуальные и творческие способности.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contextualSpacing w:val="true"/>
              <w:ind w:left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  <w:u w:val="single"/>
              </w:rPr>
              <w:t xml:space="preserve">Развитие 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  <w:u w:val="single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  <w:u w:val="single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  <w:u w:val="single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 Техническое творчество способствует развитию у детей таких важных "мягких" навыков, как: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8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ритическое мышление: Анализ проблем, поиск решений.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8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Креативность: Генерация новых идей, нестандартный подход.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8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Коммуникация: Работа в команде, обсуждение и презентация идей.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8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Коллаборация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: Взаимодействие с другими для достижения общей цели.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8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Решение проблем: Поиск и устранение неисправностей, адаптация к изменяющимся условиям.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contextualSpacing w:val="true"/>
              <w:ind w:left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Использование модели центра детско-взрослых инициатив 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при реализации проекта 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позволяет создать оптимальные условия для технического развития детей. Вовлечение родителей, педагогов и специалистов в совместную деятельность 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способствует с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озданию подд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ерживающей и мотивирующей среды, обмену опытом и знаниями, о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беспечению дост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упности ресурсов и оборудования, а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ктивизации сам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остоятельной деятельности детей. 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Проект позволяет детям стать не только потребителями технологий, но и их создателями, формируя тем самым активную жизненную позицию и навыки, необходимые для успешной адаптации в будущем.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Важно отметить,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 что дети, не познакомившиеся с основами технической работы до 7-8 лет, значительно реже выбирают технические специальности в будущем. Поэтому раннее техническое образование является важным фактором профессиональной ориентации и развития будущих инженеров.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68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11" w:type="dxa"/>
            <w:textDirection w:val="lrTb"/>
            <w:noWrap w:val="false"/>
          </w:tcPr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  <w:t xml:space="preserve">Задачи проекта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220" w:type="dxa"/>
            <w:textDirection w:val="lrTb"/>
            <w:noWrap w:val="false"/>
          </w:tcPr>
          <w:p>
            <w:pPr>
              <w:pStyle w:val="842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  <w:t xml:space="preserve">Образовательные: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Познакомить детей с различными видами материалов (дерево, пластик, ткань, бумага, металл) и их свойствами.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Научить детей базовым принципам конструирования и моделирования.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Формировать элементарные представления о технических устройствах и механизмах.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Развивать умение читать простые схемы и чертежи.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Обогащать словарный запас детей технической терминологией.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  <w:t xml:space="preserve">Развивающие: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Развивать инженерное мышление, логику, пространственное воображение и творческие способности.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Развивать мелкую моторику рук, координацию движений, глазомер.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Развивать умение планировать свою деятельность, действовать по инструкции, добиваться поставленной цели.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Развивать навыки совместной работы в команде, умение договариваться, распределять роли, оказывать помощь.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Развивать познавательный интерес к технике и конструированию.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  <w:t xml:space="preserve">Воспитательные: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Воспитывать аккуратность, бережное отношение к материалам и инструментам.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Формировать чувство ответственности за результат своей работы.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Воспитывать уважение к труду взрослых, к профессиям, связанным с техникой.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Поддерживать детскую инициативу, 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самостоятельность, творческую самореализацию.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  <w:t xml:space="preserve">Задачи взаимодействия с родителями: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Вовлечение родителей в образовательный процесс детского сада.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Повышение педагогической компетентности родителей в вопросах технического образования дошкольников.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Организация совместных детско-родительских проектов и мастер-классов.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68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1" w:type="dxa"/>
            <w:vMerge w:val="restart"/>
            <w:textDirection w:val="lrTb"/>
            <w:noWrap w:val="false"/>
          </w:tcPr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</w:rPr>
              <w:t xml:space="preserve">Стратегии и методы достижения поставленных целей и задач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0" w:type="dxa"/>
            <w:vMerge w:val="restart"/>
            <w:textDirection w:val="lrTb"/>
            <w:noWrap w:val="false"/>
          </w:tcPr>
          <w:p>
            <w:pPr>
              <w:pStyle w:val="842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</w:rPr>
              <w:t xml:space="preserve">Личностно-ориентированный подход: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</w:rPr>
              <w:t xml:space="preserve"> учет индивидуальных особенностей и интересов каждого ребенка.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</w:rPr>
              <w:t xml:space="preserve">Деятельностный подход: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</w:rPr>
              <w:t xml:space="preserve"> активное вовлечение детей в процесс познания и творчества.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</w:rPr>
              <w:t xml:space="preserve">Проблемно-поисковый метод: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</w:rPr>
              <w:t xml:space="preserve"> создание проблемных ситуаций, стимулирующих детей к поиску решений.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</w:rPr>
              <w:t xml:space="preserve">Игровой метод: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</w:rPr>
              <w:t xml:space="preserve"> использование игр и игровых приемов для повышения интереса к занятиям и облегчения процесса обучения.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</w:rPr>
              <w:t xml:space="preserve">Метод проектов: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</w:rPr>
              <w:t xml:space="preserve"> предоставление детям возможности самостоятельно разрабатывать и реализовывать свои идеи.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</w:rPr>
              <w:t xml:space="preserve">Сотрудничество: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</w:rPr>
              <w:t xml:space="preserve"> организация взаимодействия между детьми, педагогами и родителями.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</w:rPr>
              <w:t xml:space="preserve">Использование современных технологий: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</w:rPr>
              <w:t xml:space="preserve"> применение мультимедийных средств обучения, интерактивных игр и программ.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</w:r>
            <w:r/>
          </w:p>
        </w:tc>
      </w:tr>
      <w:tr>
        <w:trPr>
          <w:trHeight w:val="68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11" w:type="dxa"/>
            <w:textDirection w:val="lrTb"/>
            <w:noWrap w:val="false"/>
          </w:tcPr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  <w:t xml:space="preserve">Разработчики проекта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220" w:type="dxa"/>
            <w:textDirection w:val="lrTb"/>
            <w:noWrap w:val="false"/>
          </w:tcPr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Демидова Алина Павловна, старший воспитатель,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Сипкина Ольга Анатольевна, заместитель заведующего по учебно-воспитательной работе,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Синявская Ирина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 Владимировна учител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ь-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 логопед,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Сякова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 Елена Александровна учитель-дефектолог,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Ермак Татьяна Васильевна, воспитатель,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Путилина Елена Николаевна, воспитатель.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68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1" w:type="dxa"/>
            <w:vMerge w:val="restart"/>
            <w:textDirection w:val="lrTb"/>
            <w:noWrap w:val="false"/>
          </w:tcPr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</w:rPr>
              <w:t xml:space="preserve">Механизм реализации проекта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0" w:type="dxa"/>
            <w:vMerge w:val="restart"/>
            <w:textDirection w:val="lrTb"/>
            <w:noWrap w:val="false"/>
          </w:tcPr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</w:rPr>
              <w:t xml:space="preserve">Проект реализуется в центре детско-взрослых инициатив, который предоставляет необходимую материально-техническую базу и площадку для взаимодействия детей, педагогов и взрослых-специалистов.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</w:r>
            <w:r/>
          </w:p>
        </w:tc>
      </w:tr>
      <w:tr>
        <w:trPr>
          <w:trHeight w:val="90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11" w:type="dxa"/>
            <w:textDirection w:val="lrTb"/>
            <w:noWrap w:val="false"/>
          </w:tcPr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  <w:t xml:space="preserve">Образовательные области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220" w:type="dxa"/>
            <w:textDirection w:val="lrTb"/>
            <w:noWrap w:val="false"/>
          </w:tcPr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Интеграция образовательных областей:</w:t>
            </w:r>
            <w:r>
              <w:rPr>
                <w:rFonts w:ascii="Times New Roman" w:hAnsi="Times New Roman" w:cs="Times New Roman" w:eastAsia="Times New Roman"/>
                <w:b/>
                <w:bCs/>
                <w:color w:val="000000" w:themeColor="text1" w:themeShade="80"/>
                <w:sz w:val="24"/>
                <w:szCs w:val="28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познавательное развитие, речевое развитие, социально-коммуникативное развитие, художественно-эстетическое развитие, 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  <w:highlight w:val="white"/>
              </w:rPr>
              <w:t xml:space="preserve">физическое развитие.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439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11" w:type="dxa"/>
            <w:textDirection w:val="lrTb"/>
            <w:noWrap w:val="false"/>
          </w:tcPr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  <w:t xml:space="preserve">Тип, вид проекта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220" w:type="dxa"/>
            <w:textDirection w:val="lrTb"/>
            <w:noWrap w:val="false"/>
          </w:tcPr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Познавательно - исследовательский, игровой, 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социально-ориентированы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27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11" w:type="dxa"/>
            <w:textDirection w:val="lrTb"/>
            <w:noWrap w:val="false"/>
          </w:tcPr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  <w:t xml:space="preserve">Продолжительность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220" w:type="dxa"/>
            <w:textDirection w:val="lrTb"/>
            <w:noWrap w:val="false"/>
          </w:tcPr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  <w:highlight w:val="white"/>
              </w:rPr>
              <w:t xml:space="preserve">Долгосрочный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74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11" w:type="dxa"/>
            <w:textDirection w:val="lrTb"/>
            <w:noWrap w:val="false"/>
          </w:tcPr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  <w:t xml:space="preserve">Участники проекта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220" w:type="dxa"/>
            <w:textDirection w:val="lrTb"/>
            <w:noWrap w:val="false"/>
          </w:tcPr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Дети старшего дошкольного возраста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Воспитатели, старший воспитатель (основные координаторы)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Учитель-логопед, учитель-дефектолог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Родители (активные участники)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numPr>
                <w:ilvl w:val="0"/>
                <w:numId w:val="1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Администрация ДОУ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64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11" w:type="dxa"/>
            <w:textDirection w:val="lrTb"/>
            <w:noWrap w:val="false"/>
          </w:tcPr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  <w:t xml:space="preserve">Сроки реализации проекта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220" w:type="dxa"/>
            <w:textDirection w:val="lrTb"/>
            <w:noWrap w:val="false"/>
          </w:tcPr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01.09.2025 - 30.05.2026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74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11" w:type="dxa"/>
            <w:textDirection w:val="lrTb"/>
            <w:noWrap w:val="false"/>
          </w:tcPr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  <w:t xml:space="preserve">Этапы реализации проекта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220" w:type="dxa"/>
            <w:textDirection w:val="lrTb"/>
            <w:noWrap w:val="false"/>
          </w:tcPr>
          <w:p>
            <w:p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  <w:u w:val="single"/>
              </w:rPr>
              <w:t xml:space="preserve">I этап – организационный (подготовительный)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Создание необходимых условий для реализации проекта.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Определение  количества ресурсов, необходимых для выполнения проекта.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Разработка  мероприятий проекта: конспектов, презентаций, консультаций.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Подбор и систематизация материала по теме проекта.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Информирование педагогов ДОУ и родителей о ходе проекта.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  <w:u w:val="single"/>
              </w:rPr>
              <w:t xml:space="preserve">II этап – основной (практический): 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  <w:t xml:space="preserve">ноябрь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  <w:t xml:space="preserve">-май 2026 года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Практическое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осуществление конструктивной деятельности: организация работы центра через проведение мероприятий по техническому направлению с участием детей, родителей и педагогов.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  <w:u w:val="single"/>
              </w:rPr>
              <w:t xml:space="preserve">III этап – рефлексивный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Анализ  результатов проектной деятельности.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Обобщение опыта: создание альбомов, методической копилки.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Размещение на официальном сайте детского сада методических рекомендаций, разработок по проекту.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74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11" w:type="dxa"/>
            <w:textDirection w:val="lrTb"/>
            <w:noWrap w:val="false"/>
          </w:tcPr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/>
                <w:color w:val="000000" w:themeColor="text1" w:themeShade="80"/>
                <w:sz w:val="24"/>
                <w:szCs w:val="28"/>
              </w:rPr>
              <w:t xml:space="preserve">Предполагаемый результат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220" w:type="dxa"/>
            <w:textDirection w:val="lrTb"/>
            <w:noWrap w:val="false"/>
          </w:tcPr>
          <w:p>
            <w:pPr>
              <w:pStyle w:val="843"/>
              <w:numPr>
                <w:ilvl w:val="0"/>
                <w:numId w:val="2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Повышение уровня развития технического мышления, конструкторских навыков и творческих способностей у детей.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2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Повышение познавательного интереса к технике и конструированию.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2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Развитие умения работать в команде, договариваться, распределять роли.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2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Вовлечение родителей в образовательный процесс детского сада.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2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color w:val="000000" w:themeColor="text1" w:themeShade="80"/>
                <w:sz w:val="24"/>
                <w:szCs w:val="28"/>
              </w:rPr>
              <w:t xml:space="preserve">Создание благоприятной образовательной среды для развития детско-взрослой инициативы.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74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1" w:type="dxa"/>
            <w:vMerge w:val="restart"/>
            <w:textDirection w:val="lrTb"/>
            <w:noWrap w:val="false"/>
          </w:tcPr>
          <w:p>
            <w:pPr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 w:eastAsiaTheme="minorHAnsi"/>
                <w:b/>
                <w:bCs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b/>
                <w:bCs/>
                <w:color w:val="000000" w:themeColor="text1" w:themeShade="80"/>
                <w:sz w:val="24"/>
                <w:szCs w:val="28"/>
              </w:rPr>
              <w:t xml:space="preserve">Формы работы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b/>
                <w:color w:val="000000" w:themeColor="text1" w:themeShade="80"/>
                <w:sz w:val="24"/>
                <w:szCs w:val="28"/>
              </w:rPr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0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142" w:leader="none"/>
                <w:tab w:val="clear" w:pos="720" w:leader="none"/>
              </w:tabs>
              <w:rPr>
                <w:rFonts w:ascii="Times New Roman" w:hAnsi="Times New Roman" w:cs="Times New Roman" w:eastAsia="Times New Roman" w:eastAsiaTheme="minorHAnsi"/>
                <w:bCs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bCs/>
                <w:color w:val="000000" w:themeColor="text1" w:themeShade="80"/>
                <w:sz w:val="24"/>
                <w:szCs w:val="28"/>
              </w:rPr>
              <w:t xml:space="preserve">Занятия в </w:t>
            </w:r>
            <w:r>
              <w:rPr>
                <w:rFonts w:ascii="Times New Roman" w:hAnsi="Times New Roman" w:cs="Times New Roman" w:eastAsia="Times New Roman" w:eastAsiaTheme="minorHAnsi"/>
                <w:bCs/>
                <w:color w:val="000000" w:themeColor="text1" w:themeShade="80"/>
                <w:sz w:val="24"/>
                <w:szCs w:val="28"/>
              </w:rPr>
              <w:t xml:space="preserve">«</w:t>
            </w:r>
            <w:r>
              <w:rPr>
                <w:rFonts w:ascii="Times New Roman" w:hAnsi="Times New Roman" w:cs="Times New Roman" w:eastAsia="Times New Roman" w:eastAsiaTheme="minorHAnsi"/>
                <w:bCs/>
                <w:color w:val="000000" w:themeColor="text1" w:themeShade="80"/>
                <w:sz w:val="24"/>
                <w:szCs w:val="28"/>
              </w:rPr>
              <w:t xml:space="preserve">Мастерской</w:t>
            </w:r>
            <w:r>
              <w:rPr>
                <w:rFonts w:ascii="Times New Roman" w:hAnsi="Times New Roman" w:cs="Times New Roman" w:eastAsia="Times New Roman" w:eastAsiaTheme="minorHAnsi"/>
                <w:bCs/>
                <w:color w:val="000000" w:themeColor="text1" w:themeShade="8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 w:eastAsiaTheme="minorHAnsi"/>
                <w:bCs/>
                <w:color w:val="000000" w:themeColor="text1" w:themeShade="80"/>
                <w:sz w:val="24"/>
                <w:szCs w:val="28"/>
              </w:rPr>
              <w:t xml:space="preserve">Конструктиков</w:t>
            </w:r>
            <w:r>
              <w:rPr>
                <w:rFonts w:ascii="Times New Roman" w:hAnsi="Times New Roman" w:cs="Times New Roman" w:eastAsia="Times New Roman" w:eastAsiaTheme="minorHAnsi"/>
                <w:bCs/>
                <w:color w:val="000000" w:themeColor="text1" w:themeShade="80"/>
                <w:sz w:val="24"/>
                <w:szCs w:val="28"/>
              </w:rPr>
              <w:t xml:space="preserve">»</w:t>
            </w:r>
            <w:r>
              <w:rPr>
                <w:rFonts w:ascii="Times New Roman" w:hAnsi="Times New Roman" w:cs="Times New Roman" w:eastAsia="Times New Roman" w:eastAsiaTheme="minorHAnsi"/>
                <w:bCs/>
                <w:color w:val="000000" w:themeColor="text1" w:themeShade="80"/>
                <w:sz w:val="24"/>
                <w:szCs w:val="28"/>
              </w:rPr>
              <w:t xml:space="preserve"> под руководством </w:t>
            </w:r>
            <w:r>
              <w:rPr>
                <w:rFonts w:ascii="Times New Roman" w:hAnsi="Times New Roman" w:cs="Times New Roman" w:eastAsia="Times New Roman" w:eastAsiaTheme="minorHAnsi"/>
                <w:bCs/>
                <w:color w:val="000000" w:themeColor="text1" w:themeShade="80"/>
                <w:sz w:val="24"/>
                <w:szCs w:val="28"/>
              </w:rPr>
              <w:t xml:space="preserve">рабочей группы.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numPr>
                <w:ilvl w:val="0"/>
                <w:numId w:val="3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142" w:leader="none"/>
                <w:tab w:val="clear" w:pos="720" w:leader="none"/>
              </w:tabs>
              <w:rPr>
                <w:rFonts w:ascii="Times New Roman" w:hAnsi="Times New Roman" w:cs="Times New Roman" w:eastAsia="Times New Roman" w:eastAsiaTheme="minorHAnsi"/>
                <w:bCs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bCs/>
                <w:color w:val="000000" w:themeColor="text1" w:themeShade="80"/>
                <w:sz w:val="24"/>
                <w:szCs w:val="28"/>
              </w:rPr>
              <w:t xml:space="preserve">Самостоятельная деятельность детей в Центре детско-взрослых инициатив.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numPr>
                <w:ilvl w:val="0"/>
                <w:numId w:val="3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142" w:leader="none"/>
                <w:tab w:val="clear" w:pos="720" w:leader="none"/>
              </w:tabs>
              <w:rPr>
                <w:rFonts w:ascii="Times New Roman" w:hAnsi="Times New Roman" w:cs="Times New Roman" w:eastAsia="Times New Roman" w:eastAsiaTheme="minorHAnsi"/>
                <w:bCs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bCs/>
                <w:color w:val="000000" w:themeColor="text1" w:themeShade="80"/>
                <w:sz w:val="24"/>
                <w:szCs w:val="28"/>
              </w:rPr>
              <w:t xml:space="preserve">Виртуальная экскурсия</w:t>
            </w:r>
            <w:r>
              <w:rPr>
                <w:rFonts w:ascii="Times New Roman" w:hAnsi="Times New Roman" w:cs="Times New Roman" w:eastAsia="Times New Roman" w:eastAsiaTheme="minorHAnsi"/>
                <w:bCs/>
                <w:color w:val="000000" w:themeColor="text1" w:themeShade="80"/>
                <w:sz w:val="24"/>
                <w:szCs w:val="28"/>
              </w:rPr>
              <w:t xml:space="preserve"> на предприятия, связанные с техникой.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numPr>
                <w:ilvl w:val="0"/>
                <w:numId w:val="3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142" w:leader="none"/>
                <w:tab w:val="clear" w:pos="720" w:leader="none"/>
              </w:tabs>
              <w:rPr>
                <w:rFonts w:ascii="Times New Roman" w:hAnsi="Times New Roman" w:cs="Times New Roman" w:eastAsia="Times New Roman" w:eastAsiaTheme="minorHAnsi"/>
                <w:bCs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bCs/>
                <w:color w:val="000000" w:themeColor="text1" w:themeShade="80"/>
                <w:sz w:val="24"/>
                <w:szCs w:val="28"/>
              </w:rPr>
              <w:t xml:space="preserve">Просмотр мультфильмов и познавательных передач о технике.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numPr>
                <w:ilvl w:val="0"/>
                <w:numId w:val="3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142" w:leader="none"/>
                <w:tab w:val="clear" w:pos="720" w:leader="none"/>
              </w:tabs>
              <w:rPr>
                <w:rFonts w:ascii="Times New Roman" w:hAnsi="Times New Roman" w:cs="Times New Roman" w:eastAsia="Times New Roman" w:eastAsiaTheme="minorHAnsi"/>
                <w:bCs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bCs/>
                <w:color w:val="000000" w:themeColor="text1" w:themeShade="80"/>
                <w:sz w:val="24"/>
                <w:szCs w:val="28"/>
              </w:rPr>
              <w:t xml:space="preserve">Чтение книг и беседы о технике и изобретениях.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numPr>
                <w:ilvl w:val="0"/>
                <w:numId w:val="3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142" w:leader="none"/>
                <w:tab w:val="clear" w:pos="720" w:leader="none"/>
              </w:tabs>
              <w:rPr>
                <w:rFonts w:ascii="Times New Roman" w:hAnsi="Times New Roman" w:cs="Times New Roman" w:eastAsia="Times New Roman" w:eastAsiaTheme="minorHAnsi"/>
                <w:bCs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bCs/>
                <w:color w:val="000000" w:themeColor="text1" w:themeShade="80"/>
                <w:sz w:val="24"/>
                <w:szCs w:val="28"/>
              </w:rPr>
              <w:t xml:space="preserve">Игры с конструкторами и техническими игрушками.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numPr>
                <w:ilvl w:val="0"/>
                <w:numId w:val="3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142" w:leader="none"/>
                <w:tab w:val="clear" w:pos="720" w:leader="none"/>
              </w:tabs>
              <w:rPr>
                <w:rFonts w:ascii="Times New Roman" w:hAnsi="Times New Roman" w:cs="Times New Roman" w:eastAsia="Times New Roman" w:eastAsiaTheme="minorHAnsi"/>
                <w:bCs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bCs/>
                <w:color w:val="000000" w:themeColor="text1" w:themeShade="80"/>
                <w:sz w:val="24"/>
                <w:szCs w:val="28"/>
              </w:rPr>
              <w:t xml:space="preserve">Мастер-классы для детей и родителей.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numPr>
                <w:ilvl w:val="0"/>
                <w:numId w:val="3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142" w:leader="none"/>
                <w:tab w:val="clear" w:pos="720" w:leader="none"/>
              </w:tabs>
              <w:rPr>
                <w:rFonts w:ascii="Times New Roman" w:hAnsi="Times New Roman" w:cs="Times New Roman" w:eastAsia="Times New Roman" w:eastAsiaTheme="minorHAnsi"/>
                <w:bCs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bCs/>
                <w:color w:val="000000" w:themeColor="text1" w:themeShade="80"/>
                <w:sz w:val="24"/>
                <w:szCs w:val="28"/>
              </w:rPr>
              <w:t xml:space="preserve">Выставки детских работ.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</w:tc>
      </w:tr>
      <w:tr>
        <w:trPr>
          <w:trHeight w:val="74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1" w:type="dxa"/>
            <w:vMerge w:val="restart"/>
            <w:textDirection w:val="lrTb"/>
            <w:noWrap w:val="false"/>
          </w:tcPr>
          <w:p>
            <w:pPr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 w:eastAsiaTheme="minorHAnsi"/>
                <w:b/>
                <w:bCs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b/>
                <w:bCs/>
                <w:color w:val="000000" w:themeColor="text1" w:themeShade="80"/>
                <w:sz w:val="24"/>
                <w:szCs w:val="28"/>
              </w:rPr>
              <w:t xml:space="preserve">Материалы и оборудование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 w:eastAsiaTheme="minorHAnsi"/>
                <w:b/>
                <w:bCs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b/>
                <w:bCs/>
                <w:color w:val="000000" w:themeColor="text1" w:themeShade="80"/>
                <w:sz w:val="24"/>
                <w:szCs w:val="28"/>
              </w:rPr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0" w:type="dxa"/>
            <w:vMerge w:val="restart"/>
            <w:textDirection w:val="lrTb"/>
            <w:noWrap w:val="false"/>
          </w:tcPr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sz w:val="24"/>
                <w:szCs w:val="28"/>
              </w:rPr>
              <w:t xml:space="preserve">Помещение, оборудованное для занятий техническим творчеством (</w:t>
            </w:r>
            <w:r>
              <w:rPr>
                <w:rFonts w:ascii="Times New Roman" w:hAnsi="Times New Roman" w:cs="Times New Roman" w:eastAsia="Times New Roman" w:eastAsiaTheme="minorHAnsi"/>
                <w:sz w:val="24"/>
                <w:szCs w:val="28"/>
              </w:rPr>
              <w:t xml:space="preserve">Мастерская </w:t>
            </w:r>
            <w:r>
              <w:rPr>
                <w:rFonts w:ascii="Times New Roman" w:hAnsi="Times New Roman" w:cs="Times New Roman" w:eastAsia="Times New Roman" w:eastAsiaTheme="minorHAnsi"/>
                <w:sz w:val="24"/>
                <w:szCs w:val="28"/>
              </w:rPr>
              <w:t xml:space="preserve">Конструктиков</w:t>
            </w:r>
            <w:r>
              <w:rPr>
                <w:rFonts w:ascii="Times New Roman" w:hAnsi="Times New Roman" w:cs="Times New Roman" w:eastAsia="Times New Roman" w:eastAsiaTheme="minorHAnsi"/>
                <w:sz w:val="24"/>
                <w:szCs w:val="28"/>
              </w:rPr>
              <w:t xml:space="preserve">):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sz w:val="24"/>
                <w:szCs w:val="28"/>
              </w:rPr>
              <w:t xml:space="preserve">Столы для работы.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sz w:val="24"/>
                <w:szCs w:val="28"/>
              </w:rPr>
              <w:t xml:space="preserve">Стулья, соответствующие росту детей.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sz w:val="24"/>
                <w:szCs w:val="28"/>
              </w:rPr>
              <w:t xml:space="preserve">Стеллажи и шкафы для хранения материалов и инструментов.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sz w:val="24"/>
                <w:szCs w:val="28"/>
              </w:rPr>
              <w:t xml:space="preserve">Освещение, соответствующее санитарным нормам.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sz w:val="24"/>
                <w:szCs w:val="28"/>
              </w:rPr>
              <w:t xml:space="preserve">Материалы и инструменты: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sz w:val="24"/>
                <w:szCs w:val="28"/>
              </w:rPr>
              <w:t xml:space="preserve">Различные виды конструкторов (деревянные, металлические, магнитные, электронные).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sz w:val="24"/>
                <w:szCs w:val="28"/>
              </w:rPr>
              <w:t xml:space="preserve">Природные материалы (шишки, желуди, ветки, листья, камни).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sz w:val="24"/>
                <w:szCs w:val="28"/>
              </w:rPr>
              <w:t xml:space="preserve">Бросовый материал (коробки, бутылки, пластиковые стаканчики, трубочки, ткань).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sz w:val="24"/>
                <w:szCs w:val="28"/>
              </w:rPr>
              <w:t xml:space="preserve">Бумага различных видов (цветная, картон, гофрированная, калька).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sz w:val="24"/>
                <w:szCs w:val="28"/>
              </w:rPr>
              <w:t xml:space="preserve">Клей, ножницы, </w:t>
            </w:r>
            <w:r>
              <w:rPr>
                <w:rFonts w:ascii="Times New Roman" w:hAnsi="Times New Roman" w:cs="Times New Roman" w:eastAsia="Times New Roman" w:eastAsiaTheme="minorHAnsi"/>
                <w:sz w:val="24"/>
                <w:szCs w:val="28"/>
              </w:rPr>
              <w:t xml:space="preserve">степлеры</w:t>
            </w:r>
            <w:r>
              <w:rPr>
                <w:rFonts w:ascii="Times New Roman" w:hAnsi="Times New Roman" w:cs="Times New Roman" w:eastAsia="Times New Roman" w:eastAsiaTheme="minorHAnsi"/>
                <w:sz w:val="24"/>
                <w:szCs w:val="28"/>
              </w:rPr>
              <w:t xml:space="preserve">, скотч.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sz w:val="24"/>
                <w:szCs w:val="28"/>
              </w:rPr>
              <w:t xml:space="preserve">Краски, кисти, карандаши, фломастеры.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sz w:val="24"/>
                <w:szCs w:val="28"/>
              </w:rPr>
              <w:t xml:space="preserve">Ткань, нитки, иголки (пластиковые).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sz w:val="24"/>
                <w:szCs w:val="28"/>
              </w:rPr>
              <w:t xml:space="preserve">Методическое обеспечение: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sz w:val="24"/>
                <w:szCs w:val="28"/>
              </w:rPr>
              <w:t xml:space="preserve">Образцы готовых изделий.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sz w:val="24"/>
                <w:szCs w:val="28"/>
              </w:rPr>
              <w:t xml:space="preserve">Схемы и чертежи для конструирования.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sz w:val="24"/>
                <w:szCs w:val="28"/>
              </w:rPr>
              <w:t xml:space="preserve">Дидактические игры и пособия по техническому творчеству.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sz w:val="24"/>
                <w:szCs w:val="28"/>
              </w:rPr>
              <w:t xml:space="preserve">Литература для детей о технике и изобретениях.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sz w:val="24"/>
                <w:szCs w:val="28"/>
              </w:rPr>
              <w:t xml:space="preserve">Информационные стенды и плакаты.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</w:tc>
      </w:tr>
      <w:tr>
        <w:trPr>
          <w:trHeight w:val="74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1" w:type="dxa"/>
            <w:vMerge w:val="restart"/>
            <w:textDirection w:val="lrTb"/>
            <w:noWrap w:val="false"/>
          </w:tcPr>
          <w:p>
            <w:pPr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 w:eastAsiaTheme="minorHAnsi"/>
                <w:b/>
                <w:bCs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b/>
                <w:bCs/>
                <w:color w:val="000000" w:themeColor="text1" w:themeShade="80"/>
                <w:sz w:val="24"/>
                <w:szCs w:val="28"/>
              </w:rPr>
              <w:t xml:space="preserve">Критерии эффективности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 w:eastAsiaTheme="minorHAnsi"/>
                <w:b/>
                <w:bCs/>
                <w:color w:val="000000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b/>
                <w:bCs/>
                <w:color w:val="000000" w:themeColor="text1" w:themeShade="80"/>
                <w:sz w:val="24"/>
                <w:szCs w:val="28"/>
              </w:rPr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0" w:type="dxa"/>
            <w:vMerge w:val="restart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Эффективность проекта оценивается на основе следующих критериев: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  <w:szCs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Оценка достижения целей и задач проекта: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насколько успешно реализованы цели и задачи, поставленные в начале проекта.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  <w:szCs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Оценка развития у детей технических навыков и знаний: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насколько улучшились навыки конструирования, пространственного мышления, знания о технике и инженерии.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  <w:szCs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Оценка уровня интереса детей к техническому творчеству: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насколько повысился интерес детей к технике, инженерии и профессиям, связанным с этими областями.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  <w:szCs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Оценка активности участия родителей в проекте: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насколько активно родители вовлекались в реализацию проекта, оказывали помощь и поддержку.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  <w:szCs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Оценка удовлетворенности участников проекта: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насколько удовлетворены дети, педагоги и родители результатами проекта.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Какие данные будут использоваться и анализироваться для оценки выполнения целей проекта: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Результаты диагностики детей: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проведение входной и итоговой диагностики уровня развития технических навыков, знаний и интереса к технике. Используются специальные тесты, задания на конструирование, беседы с детьми.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Анализ детских работ: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оценка качества и оригинальности детских конструкций, макетов, проектов.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Наблюдение за деятельностью детей на занятиях: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оценка активности, заинтересованности, инициативности детей.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Отзывы родителей: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анкетирование, опросы, беседы с родителями для получения информации об их впечатлениях от проекта, изменениях в интересах и знаниях детей.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Отчеты педагогов: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анализ работы педагогов, их вклада в реализацию проекта.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Фото- и видеоматериалы: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фиксация результатов проекта, процесса работы детей и педагогов.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Анализ данных: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сравнение результатов входной и итоговой диагностики, анализ детских работ, систематизация и обобщение отзывов родителей и отчетов педагогов.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</w:tc>
      </w:tr>
      <w:tr>
        <w:trPr>
          <w:trHeight w:val="74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1" w:type="dxa"/>
            <w:vMerge w:val="restart"/>
            <w:textDirection w:val="lrTb"/>
            <w:noWrap w:val="false"/>
          </w:tcPr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 w:eastAsiaTheme="minorHAnsi"/>
                <w:b/>
                <w:bCs/>
                <w:color w:val="000000"/>
                <w:sz w:val="24"/>
              </w:rPr>
              <w:suppressLineNumbers w:val="0"/>
            </w:pPr>
            <w:r>
              <w:rPr>
                <w:rFonts w:ascii="Times New Roman" w:hAnsi="Times New Roman" w:cs="Times New Roman" w:eastAsia="Times New Roman" w:eastAsiaTheme="minorHAnsi"/>
                <w:b/>
                <w:bCs/>
                <w:color w:val="000000" w:themeColor="text1" w:themeShade="80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 w:eastAsiaTheme="minorHAnsi"/>
                <w:b/>
                <w:color w:val="000000" w:themeColor="text1" w:themeShade="80"/>
                <w:sz w:val="24"/>
              </w:rPr>
              <w:t xml:space="preserve">Устойчивость проекта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0" w:type="dxa"/>
            <w:vMerge w:val="restart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Прогноз возможных последствий и способы их коррекции: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Недостаточное финансирование: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поиск дополнительных источников финансирования (гранты, спонсорская помощь, привлечение внебюджетных средств). Оптимизация расходов.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Недостаточная заинтересованность родителей: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активизация работы с родителями, проведение более интересных и привлекательных мероприятий для них, демонстрация результатов детей.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Недостаточная квалификация педагогов: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организация курсов повышения квалификации, семинаров, мастер-классов для педагогов. Привлечение специалистов из области техники и инженерии.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Сложность в поддержании материально-технической базы: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заключение договоров о сотрудничестве с предприятиями и организациями, занимающимися техникой и инженерией, для получения необходимого оборудования и материалов.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Способы поддержания устойчивости проекта: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1"/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tabs>
                <w:tab w:val="left" w:pos="283" w:leader="none"/>
              </w:tabs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Интеграция проекта в образовательную программу детского 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сада: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включение занятий по техническому творчеству в сетку занятий детского сада.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Развитие партнерских отношений: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установление контактов с предприятиями, организациями, вузами, занимающимися техникой и инженерией.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Привлечение новых участников: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расширение круга участников проекта за счет привлечения новых детей, родителей и педагогов.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3"/>
              <w:numPr>
                <w:ilvl w:val="0"/>
                <w:numId w:val="9"/>
              </w:numPr>
              <w:contextualSpacing w:val="true"/>
              <w:ind w:left="0" w:right="0" w:firstLine="0"/>
              <w:jc w:val="both"/>
              <w:spacing w:lineRule="auto" w:line="240" w:after="0" w:afterAutospacing="0" w:before="0" w:beforeAutospacing="0"/>
              <w:shd w:val="clear" w:fill="FFFFFF" w:color="auto"/>
              <w:tabs>
                <w:tab w:val="left" w:pos="142" w:leader="none"/>
              </w:tabs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Распространение опыта: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участие в конкурсах, конференциях, публикация статей о проекте.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spacing w:lineRule="auto" w:line="240" w:after="0" w:afterAutospacing="0" w:before="0"/>
              <w:shd w:val="clear" w:color="FFFFFF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color w:val="4A4A4A"/>
                <w:sz w:val="24"/>
              </w:rPr>
            </w:r>
            <w:r/>
          </w:p>
        </w:tc>
      </w:tr>
    </w:tbl>
    <w:p>
      <w:pPr>
        <w:contextualSpacing w:val="true"/>
        <w:ind w:left="0"/>
        <w:jc w:val="both"/>
        <w:spacing w:lineRule="auto" w:line="240" w:after="0" w:afterAutospacing="0" w:before="0" w:beforeAutospacing="0"/>
        <w:shd w:val="clear" w:fill="FFFFFF" w:color="auto"/>
        <w:rPr>
          <w:rFonts w:ascii="Times New Roman" w:hAnsi="Times New Roman" w:cs="Times New Roman" w:eastAsia="Times New Roman"/>
          <w:sz w:val="24"/>
          <w:szCs w:val="28"/>
        </w:rPr>
        <w:suppressLineNumbers w:val="0"/>
      </w:pPr>
      <w:r>
        <w:rPr>
          <w:rFonts w:ascii="Times New Roman" w:hAnsi="Times New Roman" w:cs="Times New Roman" w:eastAsia="Times New Roman" w:eastAsiaTheme="minorHAnsi"/>
          <w:sz w:val="24"/>
          <w:szCs w:val="28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contextualSpacing w:val="true"/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b/>
          <w:color w:val="000000"/>
          <w:sz w:val="24"/>
          <w:szCs w:val="28"/>
        </w:rPr>
        <w:suppressLineNumbers w:val="0"/>
      </w:pPr>
      <w:r>
        <w:rPr>
          <w:rFonts w:ascii="Times New Roman" w:hAnsi="Times New Roman" w:cs="Times New Roman" w:eastAsia="Times New Roman" w:eastAsiaTheme="minorHAnsi"/>
          <w:b/>
          <w:color w:val="000000" w:themeColor="text1" w:themeShade="80"/>
          <w:sz w:val="24"/>
          <w:szCs w:val="28"/>
          <w:highlight w:val="non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contextualSpacing w:val="true"/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b/>
          <w:color w:val="000000"/>
          <w:sz w:val="24"/>
          <w:szCs w:val="28"/>
          <w:highlight w:val="none"/>
        </w:rPr>
        <w:suppressLineNumbers w:val="0"/>
      </w:pPr>
      <w:r>
        <w:rPr>
          <w:rFonts w:ascii="Times New Roman" w:hAnsi="Times New Roman" w:cs="Times New Roman" w:eastAsia="Times New Roman" w:eastAsiaTheme="minorHAnsi"/>
          <w:b/>
          <w:color w:val="000000" w:themeColor="text1" w:themeShade="80"/>
          <w:sz w:val="24"/>
          <w:szCs w:val="28"/>
          <w:highlight w:val="non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contextualSpacing w:val="true"/>
        <w:ind w:left="0"/>
        <w:jc w:val="center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b/>
          <w:color w:val="000000"/>
          <w:sz w:val="24"/>
          <w:szCs w:val="28"/>
          <w:highlight w:val="none"/>
        </w:rPr>
        <w:suppressLineNumbers w:val="0"/>
      </w:pPr>
      <w:r>
        <w:rPr>
          <w:rFonts w:ascii="Times New Roman" w:hAnsi="Times New Roman" w:cs="Times New Roman" w:eastAsia="Times New Roman" w:eastAsiaTheme="minorHAnsi"/>
          <w:b/>
          <w:color w:val="000000" w:themeColor="text1" w:themeShade="80"/>
          <w:sz w:val="24"/>
          <w:szCs w:val="28"/>
        </w:rPr>
        <w:t xml:space="preserve">Реализация проекта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contextualSpacing w:val="true"/>
        <w:ind w:left="0"/>
        <w:jc w:val="center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i/>
          <w:color w:val="000000"/>
          <w:sz w:val="24"/>
          <w:szCs w:val="28"/>
          <w:highlight w:val="none"/>
        </w:rPr>
        <w:suppressLineNumbers w:val="0"/>
      </w:pPr>
      <w:r>
        <w:rPr>
          <w:rFonts w:ascii="Times New Roman" w:hAnsi="Times New Roman" w:cs="Times New Roman" w:eastAsia="Times New Roman" w:eastAsiaTheme="minorHAnsi"/>
          <w:i/>
          <w:color w:val="000000" w:themeColor="text1" w:themeShade="80"/>
          <w:sz w:val="24"/>
          <w:szCs w:val="28"/>
        </w:rPr>
        <w:t xml:space="preserve"> (этапы и мероприятия)</w:t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pPr w:horzAnchor="text" w:tblpX="534" w:vertAnchor="text" w:tblpY="397" w:leftFromText="180" w:topFromText="0" w:rightFromText="180" w:bottomFromText="200"/>
        <w:tblW w:w="960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08"/>
        <w:gridCol w:w="2610"/>
        <w:gridCol w:w="1073"/>
        <w:gridCol w:w="1382"/>
        <w:gridCol w:w="3117"/>
      </w:tblGrid>
      <w:tr>
        <w:trPr>
          <w:cantSplit/>
          <w:trHeight w:val="847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10" w:type="dxa"/>
            <w:textDirection w:val="btLr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Этап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sz="4" w:space="0" w:color="auto"/>
              <w:bottom w:val="single" w:color="000000" w:sz="4" w:space="0"/>
            </w:tcBorders>
            <w:tcW w:w="2612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Мероприятие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color="000000" w:sz="4" w:space="0"/>
              <w:bottom w:val="single" w:color="000000" w:sz="4" w:space="0"/>
            </w:tcBorders>
            <w:tcW w:w="1074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Сроки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83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Ответственные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Результат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10" w:type="dxa"/>
            <w:vMerge w:val="restart"/>
            <w:textDirection w:val="btLr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подготовительный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sz="4" w:space="0" w:color="auto"/>
              <w:bottom w:val="single" w:color="000000" w:sz="4" w:space="0"/>
            </w:tcBorders>
            <w:tcW w:w="2612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Выявление проблем и способа их решения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sz="4" w:space="0" w:color="auto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74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сентябрь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83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Рабочая группа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Формирование идеи проекта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cantSplit/>
          <w:trHeight w:val="120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10" w:type="dxa"/>
            <w:vAlign w:val="center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708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sz="4" w:space="0" w:color="auto"/>
              <w:bottom w:val="single" w:sz="4" w:space="0" w:color="auto"/>
            </w:tcBorders>
            <w:tcW w:w="2612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Ознакомительная стадия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sz="4" w:space="0" w:color="auto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1074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Сентябрь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1383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Рабочая группа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3119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Знакомство с темой проекта, мо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тивация работы к началу проекта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cantSplit/>
          <w:trHeight w:val="612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10" w:type="dxa"/>
            <w:vAlign w:val="center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sz="4" w:space="0" w:color="auto"/>
              <w:right w:val="single" w:color="000000" w:sz="4" w:space="0"/>
              <w:bottom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sz="4" w:space="0" w:color="auto"/>
              <w:right w:val="single" w:sz="4" w:space="0" w:color="auto"/>
              <w:bottom w:val="single" w:color="000000" w:sz="4" w:space="0"/>
            </w:tcBorders>
            <w:tcW w:w="2612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Разработка проекта, составление плана работы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color="000000" w:sz="4" w:space="0"/>
              <w:bottom w:val="single" w:color="000000" w:sz="4" w:space="0"/>
            </w:tcBorders>
            <w:tcW w:w="1074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сентябрь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sz="4" w:space="0" w:color="auto"/>
              <w:right w:val="single" w:color="000000" w:sz="4" w:space="0"/>
              <w:bottom w:val="single" w:color="000000" w:sz="4" w:space="0"/>
            </w:tcBorders>
            <w:tcW w:w="1383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Рабочая группа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sz="4" w:space="0" w:color="auto"/>
              <w:right w:val="single" w:color="000000" w:sz="4" w:space="0"/>
              <w:bottom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Написание проекта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10" w:type="dxa"/>
            <w:vAlign w:val="center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sz="4" w:space="0" w:color="auto"/>
              <w:bottom w:val="single" w:color="000000" w:sz="4" w:space="0"/>
            </w:tcBorders>
            <w:tcW w:w="2612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Подготовка материально-технической базы проекта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sz="4" w:space="0" w:color="auto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74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октябрь-май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83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Рабочая группа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Покупка, изготовление необходимого оборудования, расходных материалов, ат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рибутов для реализации про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екта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10" w:type="dxa"/>
            <w:vAlign w:val="center"/>
            <w:vMerge w:val="continue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sz="4" w:space="0" w:color="auto"/>
              <w:bottom w:val="single" w:color="000000" w:sz="4" w:space="0"/>
            </w:tcBorders>
            <w:tcW w:w="2612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Разработка  мероприятий проекта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sz="4" w:space="0" w:color="auto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74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октябрь-май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83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Рабочая группа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pStyle w:val="842"/>
              <w:contextualSpacing w:val="true"/>
              <w:ind w:left="0"/>
              <w:jc w:val="both"/>
              <w:spacing w:lineRule="auto" w:line="240" w:after="0" w:afterAutospacing="0" w:before="0" w:beforeAutospacing="0"/>
              <w:rPr>
                <w:rFonts w:ascii="Times New Roman" w:hAnsi="Times New Roman" w:cs="Times New Roman" w:eastAsia="Times New Roman"/>
                <w:sz w:val="24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Конспекты, презентации, консультации для воспитанников, педагогов и родителей ДОУ.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</w:tbl>
    <w:p>
      <w:pPr>
        <w:contextualSpacing w:val="true"/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4"/>
        </w:rPr>
        <w:suppressLineNumbers w:val="0"/>
      </w:pPr>
      <w:r>
        <w:rPr>
          <w:rFonts w:ascii="Times New Roman" w:hAnsi="Times New Roman" w:cs="Times New Roman" w:eastAsia="Times New Roman" w:eastAsiaTheme="minorHAnsi"/>
          <w:sz w:val="24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contextualSpacing w:val="true"/>
        <w:ind w:left="0"/>
        <w:jc w:val="center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b/>
          <w:sz w:val="24"/>
        </w:rPr>
        <w:suppressLineNumbers w:val="0"/>
      </w:pPr>
      <w:r>
        <w:rPr>
          <w:rFonts w:ascii="Times New Roman" w:hAnsi="Times New Roman" w:cs="Times New Roman" w:eastAsia="Times New Roman" w:eastAsiaTheme="minorHAnsi"/>
          <w:b/>
          <w:sz w:val="24"/>
        </w:rPr>
      </w:r>
      <w:r>
        <w:rPr>
          <w:rFonts w:ascii="Times New Roman" w:hAnsi="Times New Roman" w:cs="Times New Roman" w:eastAsia="Times New Roman" w:eastAsiaTheme="minorHAnsi"/>
          <w:b/>
          <w:sz w:val="24"/>
          <w:lang w:val="ru-RU"/>
        </w:rPr>
        <w:t xml:space="preserve">Основной этап</w:t>
      </w:r>
      <w:r>
        <w:rPr>
          <w:rFonts w:eastAsiaTheme="minorHAnsi"/>
          <w:b/>
        </w:rPr>
      </w:r>
      <w:r>
        <w:rPr>
          <w:rFonts w:eastAsiaTheme="minorHAnsi"/>
        </w:rPr>
      </w:r>
    </w:p>
    <w:p>
      <w:pPr>
        <w:contextualSpacing w:val="true"/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4"/>
        </w:rPr>
        <w:suppressLineNumbers w:val="0"/>
      </w:pPr>
      <w:r>
        <w:rPr>
          <w:rFonts w:ascii="Times New Roman" w:hAnsi="Times New Roman" w:cs="Times New Roman" w:eastAsia="Times New Roman" w:eastAsiaTheme="minorHAnsi"/>
          <w:sz w:val="24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contextualSpacing w:val="true"/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4"/>
        </w:rPr>
        <w:suppressLineNumbers w:val="0"/>
      </w:pPr>
      <w:r>
        <w:rPr>
          <w:rFonts w:ascii="Times New Roman" w:hAnsi="Times New Roman" w:cs="Times New Roman" w:eastAsia="Times New Roman" w:eastAsiaTheme="minorHAnsi"/>
          <w:sz w:val="24"/>
        </w:rPr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W w:w="10205" w:type="dxa"/>
        <w:shd w:val="clear" w:fill="FFFFFF" w:color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2194"/>
        <w:gridCol w:w="2551"/>
        <w:gridCol w:w="2409"/>
        <w:gridCol w:w="2588"/>
      </w:tblGrid>
      <w:tr>
        <w:trPr>
          <w:trHeight w:val="1134"/>
        </w:trPr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btLr"/>
            <w:noWrap w:val="false"/>
          </w:tcPr>
          <w:p>
            <w:pPr>
              <w:ind w:left="113" w:right="113"/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Н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оябрь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"Знакомство с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Мастерской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Конструктиков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Инструменты и материалы"</w:t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"Конструируем из бумаги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"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оригами животные)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Ознакомление с правилами работы в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Мастерской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Конструктиков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с инструментами и материалами. </w:t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Закрепление умения складывать бумагу, вырезать детали, склеивать. Развитие фантазии и воображения.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Беседа, экскурсия по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Мастерской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Конструктиков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</w:t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Занятие по аппликации и оригами, создание поделок из бумаги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(,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животные), конкурсы на лучшую бумажную модель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Дети знают правила работы в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Мастерской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Конструктиков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названия инструментов и материалов, умеют их использовать.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Дети умеют складывать бумагу, вырезать детали, склеивать, самостоятельно придумывать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поделки из бумаги</w:t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</w:tc>
      </w:tr>
      <w:tr>
        <w:trPr>
          <w:trHeight w:val="3357"/>
        </w:trPr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btLr"/>
            <w:noWrap w:val="false"/>
          </w:tcPr>
          <w:p>
            <w:pPr>
              <w:ind w:left="113" w:right="113"/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екабрь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"Чудеса из бросового материала"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Развитие умения видеть в обычных вещах новые возможности. Активизация творческого мышления.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Занятие по конструированию из бросового материала (коробки, бутылки, стаканчики), создание макетов домов, машин, роботов, выставка детских работ.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Дети умеют конструировать из бросового материала, видеть в обычных вещах новые возможности, проявлять фантазию и творчество.</w:t>
            </w:r>
            <w:r>
              <w:rPr>
                <w:sz w:val="24"/>
              </w:rPr>
            </w:r>
            <w:r/>
          </w:p>
        </w:tc>
      </w:tr>
      <w:tr>
        <w:trPr>
          <w:trHeight w:val="1134"/>
        </w:trPr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btLr"/>
            <w:noWrap w:val="false"/>
          </w:tcPr>
          <w:p>
            <w:pPr>
              <w:ind w:left="113" w:right="113"/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Декабрь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"Новогодние изобретения"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Создание новогодних украшений и игрушек своими руками. Развитие эстетического вкуса.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Изготовление новогодних игрушек из различных материалов, создание гирлянд, снежинок, украшение елки, детско-родительский проект "Новогодняя игрушка".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Дети умеют создавать новогодние украшения и игрушки своими руками, проявляют творчество и фантазию, участвуют в совместных проектах с родителями.</w:t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</w:tc>
      </w:tr>
      <w:tr>
        <w:trPr>
          <w:trHeight w:val="1134"/>
        </w:trPr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btLr"/>
            <w:noWrap w:val="false"/>
          </w:tcPr>
          <w:p>
            <w:pPr>
              <w:ind w:left="113" w:right="113"/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Январь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"Первый транспорт"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(железный, пластмассовый конструктор)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Знакомство с историей развития транспорта. Конструирование различных видов транспорта из конструктора и других материалов.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Беседа об истории транспорта, рассматривание иллюстраций, конструирование машин, самолетов, кораблей из конструктора и других материалов, игра "Путешествие".</w:t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Дети знают историю развития транспорта, умеют конструировать различные виды транспорта из конструктора и других материалов.</w:t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</w:tc>
      </w:tr>
      <w:tr>
        <w:trPr>
          <w:trHeight w:val="1134"/>
        </w:trPr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btLr"/>
            <w:noWrap w:val="false"/>
          </w:tcPr>
          <w:p>
            <w:pPr>
              <w:ind w:left="113" w:right="113"/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Февраль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«Гербы и флаги»</w:t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(Дары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Фрёбеля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)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Знакомство с историей возникновения гербов и флагов различных стран. Конструирование флагов разных стран.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Беседа о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геральдике разных стран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, рассматривание иллюстраций, изготовление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флагов и гербов из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геометрических фигур.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Дети знают о гербах и флагах разных стран, умеют конструировать, используя «Дары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Фрёбеля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»</w:t>
            </w:r>
            <w:r>
              <w:rPr>
                <w:sz w:val="24"/>
              </w:rPr>
            </w:r>
            <w:r/>
          </w:p>
        </w:tc>
      </w:tr>
      <w:tr>
        <w:trPr>
          <w:trHeight w:val="1134"/>
        </w:trPr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btLr"/>
            <w:noWrap w:val="false"/>
          </w:tcPr>
          <w:p>
            <w:pPr>
              <w:ind w:left="113" w:right="113"/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Ф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евраль</w:t>
            </w:r>
            <w:r>
              <w:rPr>
                <w:sz w:val="24"/>
              </w:rPr>
            </w:r>
            <w:r/>
          </w:p>
          <w:p>
            <w:pPr>
              <w:ind w:left="113" w:right="113"/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ind w:left="113" w:right="113"/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ind w:left="113" w:right="113"/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ind w:left="113" w:right="113"/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ind w:left="113" w:right="113"/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ind w:left="113" w:right="113"/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ind w:left="113" w:right="113"/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ind w:left="113" w:right="113"/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ind w:left="113" w:right="113"/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ind w:left="113" w:right="113"/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ind w:left="113" w:right="113"/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ind w:left="113" w:right="113"/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Март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«Знаки дорожного движения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»(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Дары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Фрёбеля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)</w:t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"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Пир навесь мир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"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( Дары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Фрёбеля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)</w:t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Формирование основ безопасного поведения на дороге. </w:t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Формирование представлений о культурных ценностях семьи, традициях праздниках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 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Беседа о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знаках дорожного движения. Р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ассматривание иллюстраций,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конструирование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знаков дорожного движения.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Изготовление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  композиции из наборов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Фрёбеля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.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Дети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закрепили знания о дорожных знаках, через конструктивную деятельность.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</w:t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sz w:val="24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Дети умеют изготавливать подарки для мам и бабушек своими руками, проявляют трудолюбие и аккуратность.</w:t>
            </w:r>
            <w:bookmarkStart w:id="0" w:name="_GoBack"/>
            <w:r>
              <w:rPr>
                <w:sz w:val="24"/>
              </w:rPr>
            </w:r>
            <w:bookmarkEnd w:id="0"/>
            <w:r>
              <w:rPr>
                <w:sz w:val="24"/>
              </w:rPr>
            </w:r>
            <w:r/>
          </w:p>
        </w:tc>
      </w:tr>
      <w:tr>
        <w:trPr>
          <w:trHeight w:val="1134"/>
        </w:trPr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btLr"/>
            <w:noWrap w:val="false"/>
          </w:tcPr>
          <w:p>
            <w:pPr>
              <w:ind w:left="113" w:right="113"/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Апрель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"Космические приключения"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Знакомство с космосом, планетами. Конструирование ракет и космических кораблей.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Беседа о космосе, рассматривание иллюстраций, конструирование ракет и космических кораблей из конструктора и других материалов, игра "Космическое путешествие".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Дети знакомы с космосом, планетами, умеют конструировать ракеты и космические корабли из конструктора и других материалов.</w:t>
            </w:r>
            <w:r>
              <w:rPr>
                <w:sz w:val="24"/>
              </w:rPr>
            </w:r>
            <w:r/>
          </w:p>
        </w:tc>
      </w:tr>
      <w:tr>
        <w:trPr>
          <w:trHeight w:val="1134"/>
        </w:trPr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btLr"/>
            <w:noWrap w:val="false"/>
          </w:tcPr>
          <w:p>
            <w:pPr>
              <w:ind w:left="113" w:right="113"/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Май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"Город будущего"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Развитие фантазии и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воображения. Создание макета города будущего.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Совместная работа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детей, родителей и воспитателей над созданием макета города будущего, выставка детских работ, презентация проекта "Город будущего".</w:t>
            </w:r>
            <w:r>
              <w:rPr>
                <w:sz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Дети умеют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планировать свою деятельность, работать в команде, проявлять фантазию и воображение.</w:t>
            </w:r>
            <w:r>
              <w:rPr>
                <w:sz w:val="24"/>
              </w:rPr>
            </w:r>
            <w:r/>
          </w:p>
        </w:tc>
      </w:tr>
    </w:tbl>
    <w:p>
      <w:pPr>
        <w:contextualSpacing w:val="true"/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4"/>
        </w:rPr>
        <w:suppressLineNumbers w:val="0"/>
      </w:pPr>
      <w:r>
        <w:rPr>
          <w:rFonts w:ascii="Times New Roman" w:hAnsi="Times New Roman" w:cs="Times New Roman" w:eastAsia="Times New Roman" w:eastAsiaTheme="minorHAnsi"/>
          <w:sz w:val="24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contextualSpacing w:val="true"/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4"/>
        </w:rPr>
        <w:suppressLineNumbers w:val="0"/>
      </w:pPr>
      <w:r>
        <w:rPr>
          <w:rFonts w:ascii="Times New Roman" w:hAnsi="Times New Roman" w:cs="Times New Roman" w:eastAsia="Times New Roman" w:eastAsiaTheme="minorHAnsi"/>
          <w:sz w:val="24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spacing w:lineRule="auto" w:line="240" w:after="0" w:afterAutospacing="0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 w:eastAsiaTheme="minorHAnsi"/>
          <w:sz w:val="24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spacing w:lineRule="auto" w:line="240" w:after="0" w:afterAutospacing="0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 w:eastAsiaTheme="minorHAnsi"/>
          <w:sz w:val="24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spacing w:lineRule="auto" w:line="240" w:after="0" w:afterAutospacing="0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 w:eastAsiaTheme="minorHAnsi"/>
          <w:sz w:val="24"/>
        </w:rPr>
      </w:r>
      <w:r>
        <w:rPr>
          <w:rFonts w:eastAsiaTheme="minorHAnsi"/>
        </w:rPr>
      </w:r>
      <w:r>
        <w:rPr>
          <w:rFonts w:eastAsiaTheme="minorHAnsi"/>
        </w:rPr>
      </w:r>
    </w:p>
    <w:sectPr>
      <w:footnotePr/>
      <w:endnotePr/>
      <w:type w:val="nextPage"/>
      <w:pgSz w:w="11906" w:h="16838" w:orient="portrait"/>
      <w:pgMar w:top="1134" w:right="1134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  <w:color w:val="5B5B5B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 w:hint="default"/>
        <w:color w:val="5B5B5B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 w:hint="default"/>
        <w:color w:val="5B5B5B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  <w:color w:val="5B5B5B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 w:hint="default"/>
        <w:color w:val="5B5B5B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 w:hint="default"/>
        <w:color w:val="5B5B5B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  <w:color w:val="5B5B5B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 w:hint="default"/>
        <w:color w:val="5B5B5B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 w:hint="default"/>
        <w:color w:val="5B5B5B"/>
        <w:sz w:val="21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  <w:color w:val="5B5B5B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 w:hint="default"/>
        <w:color w:val="5B5B5B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 w:hint="default"/>
        <w:color w:val="5B5B5B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  <w:color w:val="5B5B5B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 w:hint="default"/>
        <w:color w:val="5B5B5B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 w:hint="default"/>
        <w:color w:val="5B5B5B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  <w:color w:val="5B5B5B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 w:hint="default"/>
        <w:color w:val="5B5B5B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 w:hint="default"/>
        <w:color w:val="5B5B5B"/>
        <w:sz w:val="21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  <w:color w:val="5B5B5B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 w:hint="default"/>
        <w:color w:val="5B5B5B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 w:hint="default"/>
        <w:color w:val="5B5B5B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  <w:color w:val="5B5B5B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 w:hint="default"/>
        <w:color w:val="5B5B5B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 w:hint="default"/>
        <w:color w:val="5B5B5B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  <w:color w:val="5B5B5B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 w:hint="default"/>
        <w:color w:val="5B5B5B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 w:hint="default"/>
        <w:color w:val="5B5B5B"/>
        <w:sz w:val="21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  <w:color w:val="5B5B5B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 w:hint="default"/>
        <w:color w:val="5B5B5B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 w:hint="default"/>
        <w:color w:val="5B5B5B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  <w:color w:val="5B5B5B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 w:hint="default"/>
        <w:color w:val="5B5B5B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 w:hint="default"/>
        <w:color w:val="5B5B5B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  <w:color w:val="5B5B5B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 w:hint="default"/>
        <w:color w:val="5B5B5B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 w:hint="default"/>
        <w:color w:val="5B5B5B"/>
        <w:sz w:val="21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  <w:color w:val="5B5B5B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 w:hint="default"/>
        <w:color w:val="5B5B5B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 w:hint="default"/>
        <w:color w:val="5B5B5B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  <w:color w:val="5B5B5B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 w:hint="default"/>
        <w:color w:val="5B5B5B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 w:hint="default"/>
        <w:color w:val="5B5B5B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  <w:color w:val="5B5B5B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 w:hint="default"/>
        <w:color w:val="5B5B5B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 w:hint="default"/>
        <w:color w:val="5B5B5B"/>
        <w:sz w:val="21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37"/>
    <w:next w:val="837"/>
    <w:link w:val="663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63">
    <w:name w:val="Heading 1 Char"/>
    <w:basedOn w:val="838"/>
    <w:link w:val="662"/>
    <w:uiPriority w:val="9"/>
    <w:rPr>
      <w:rFonts w:ascii="Arial" w:hAnsi="Arial" w:cs="Arial" w:eastAsia="Arial"/>
      <w:sz w:val="40"/>
      <w:szCs w:val="40"/>
    </w:rPr>
  </w:style>
  <w:style w:type="paragraph" w:styleId="664">
    <w:name w:val="Heading 2"/>
    <w:basedOn w:val="837"/>
    <w:next w:val="837"/>
    <w:link w:val="665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65">
    <w:name w:val="Heading 2 Char"/>
    <w:basedOn w:val="838"/>
    <w:link w:val="664"/>
    <w:uiPriority w:val="9"/>
    <w:rPr>
      <w:rFonts w:ascii="Arial" w:hAnsi="Arial" w:cs="Arial" w:eastAsia="Arial"/>
      <w:sz w:val="34"/>
    </w:rPr>
  </w:style>
  <w:style w:type="paragraph" w:styleId="666">
    <w:name w:val="Heading 3"/>
    <w:basedOn w:val="837"/>
    <w:next w:val="837"/>
    <w:link w:val="667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67">
    <w:name w:val="Heading 3 Char"/>
    <w:basedOn w:val="838"/>
    <w:link w:val="666"/>
    <w:uiPriority w:val="9"/>
    <w:rPr>
      <w:rFonts w:ascii="Arial" w:hAnsi="Arial" w:cs="Arial" w:eastAsia="Arial"/>
      <w:sz w:val="30"/>
      <w:szCs w:val="30"/>
    </w:rPr>
  </w:style>
  <w:style w:type="paragraph" w:styleId="668">
    <w:name w:val="Heading 4"/>
    <w:basedOn w:val="837"/>
    <w:next w:val="837"/>
    <w:link w:val="66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69">
    <w:name w:val="Heading 4 Char"/>
    <w:basedOn w:val="838"/>
    <w:link w:val="668"/>
    <w:uiPriority w:val="9"/>
    <w:rPr>
      <w:rFonts w:ascii="Arial" w:hAnsi="Arial" w:cs="Arial" w:eastAsia="Arial"/>
      <w:b/>
      <w:bCs/>
      <w:sz w:val="26"/>
      <w:szCs w:val="26"/>
    </w:rPr>
  </w:style>
  <w:style w:type="paragraph" w:styleId="670">
    <w:name w:val="Heading 5"/>
    <w:basedOn w:val="837"/>
    <w:next w:val="837"/>
    <w:link w:val="671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71">
    <w:name w:val="Heading 5 Char"/>
    <w:basedOn w:val="838"/>
    <w:link w:val="670"/>
    <w:uiPriority w:val="9"/>
    <w:rPr>
      <w:rFonts w:ascii="Arial" w:hAnsi="Arial" w:cs="Arial" w:eastAsia="Arial"/>
      <w:b/>
      <w:bCs/>
      <w:sz w:val="24"/>
      <w:szCs w:val="24"/>
    </w:rPr>
  </w:style>
  <w:style w:type="paragraph" w:styleId="672">
    <w:name w:val="Heading 6"/>
    <w:basedOn w:val="837"/>
    <w:next w:val="837"/>
    <w:link w:val="673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73">
    <w:name w:val="Heading 6 Char"/>
    <w:basedOn w:val="838"/>
    <w:link w:val="672"/>
    <w:uiPriority w:val="9"/>
    <w:rPr>
      <w:rFonts w:ascii="Arial" w:hAnsi="Arial" w:cs="Arial" w:eastAsia="Arial"/>
      <w:b/>
      <w:bCs/>
      <w:sz w:val="22"/>
      <w:szCs w:val="22"/>
    </w:rPr>
  </w:style>
  <w:style w:type="paragraph" w:styleId="674">
    <w:name w:val="Heading 7"/>
    <w:basedOn w:val="837"/>
    <w:next w:val="837"/>
    <w:link w:val="67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75">
    <w:name w:val="Heading 7 Char"/>
    <w:basedOn w:val="838"/>
    <w:link w:val="67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76">
    <w:name w:val="Heading 8"/>
    <w:basedOn w:val="837"/>
    <w:next w:val="837"/>
    <w:link w:val="677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77">
    <w:name w:val="Heading 8 Char"/>
    <w:basedOn w:val="838"/>
    <w:link w:val="676"/>
    <w:uiPriority w:val="9"/>
    <w:rPr>
      <w:rFonts w:ascii="Arial" w:hAnsi="Arial" w:cs="Arial" w:eastAsia="Arial"/>
      <w:i/>
      <w:iCs/>
      <w:sz w:val="22"/>
      <w:szCs w:val="22"/>
    </w:rPr>
  </w:style>
  <w:style w:type="paragraph" w:styleId="678">
    <w:name w:val="Heading 9"/>
    <w:basedOn w:val="837"/>
    <w:next w:val="837"/>
    <w:link w:val="679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79">
    <w:name w:val="Heading 9 Char"/>
    <w:basedOn w:val="838"/>
    <w:link w:val="678"/>
    <w:uiPriority w:val="9"/>
    <w:rPr>
      <w:rFonts w:ascii="Arial" w:hAnsi="Arial" w:cs="Arial" w:eastAsia="Arial"/>
      <w:i/>
      <w:iCs/>
      <w:sz w:val="21"/>
      <w:szCs w:val="21"/>
    </w:rPr>
  </w:style>
  <w:style w:type="paragraph" w:styleId="680">
    <w:name w:val="Title"/>
    <w:basedOn w:val="837"/>
    <w:next w:val="837"/>
    <w:link w:val="68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81">
    <w:name w:val="Title Char"/>
    <w:basedOn w:val="838"/>
    <w:link w:val="680"/>
    <w:uiPriority w:val="10"/>
    <w:rPr>
      <w:sz w:val="48"/>
      <w:szCs w:val="48"/>
    </w:rPr>
  </w:style>
  <w:style w:type="paragraph" w:styleId="682">
    <w:name w:val="Subtitle"/>
    <w:basedOn w:val="837"/>
    <w:next w:val="837"/>
    <w:link w:val="683"/>
    <w:qFormat/>
    <w:uiPriority w:val="11"/>
    <w:rPr>
      <w:sz w:val="24"/>
      <w:szCs w:val="24"/>
    </w:rPr>
    <w:pPr>
      <w:spacing w:after="200" w:before="200"/>
    </w:pPr>
  </w:style>
  <w:style w:type="character" w:styleId="683">
    <w:name w:val="Subtitle Char"/>
    <w:basedOn w:val="838"/>
    <w:link w:val="682"/>
    <w:uiPriority w:val="11"/>
    <w:rPr>
      <w:sz w:val="24"/>
      <w:szCs w:val="24"/>
    </w:rPr>
  </w:style>
  <w:style w:type="paragraph" w:styleId="684">
    <w:name w:val="Quote"/>
    <w:basedOn w:val="837"/>
    <w:next w:val="837"/>
    <w:link w:val="685"/>
    <w:qFormat/>
    <w:uiPriority w:val="29"/>
    <w:rPr>
      <w:i/>
    </w:rPr>
    <w:pPr>
      <w:ind w:left="720" w:right="720"/>
    </w:pPr>
  </w:style>
  <w:style w:type="character" w:styleId="685">
    <w:name w:val="Quote Char"/>
    <w:link w:val="684"/>
    <w:uiPriority w:val="29"/>
    <w:rPr>
      <w:i/>
    </w:rPr>
  </w:style>
  <w:style w:type="paragraph" w:styleId="686">
    <w:name w:val="Intense Quote"/>
    <w:basedOn w:val="837"/>
    <w:next w:val="837"/>
    <w:link w:val="687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87">
    <w:name w:val="Intense Quote Char"/>
    <w:link w:val="686"/>
    <w:uiPriority w:val="30"/>
    <w:rPr>
      <w:i/>
    </w:rPr>
  </w:style>
  <w:style w:type="paragraph" w:styleId="688">
    <w:name w:val="Header"/>
    <w:basedOn w:val="837"/>
    <w:link w:val="68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89">
    <w:name w:val="Header Char"/>
    <w:basedOn w:val="838"/>
    <w:link w:val="688"/>
    <w:uiPriority w:val="99"/>
  </w:style>
  <w:style w:type="paragraph" w:styleId="690">
    <w:name w:val="Footer"/>
    <w:basedOn w:val="837"/>
    <w:link w:val="69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91">
    <w:name w:val="Footer Char"/>
    <w:basedOn w:val="838"/>
    <w:link w:val="690"/>
    <w:uiPriority w:val="99"/>
  </w:style>
  <w:style w:type="paragraph" w:styleId="692">
    <w:name w:val="Caption"/>
    <w:basedOn w:val="837"/>
    <w:next w:val="837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93">
    <w:name w:val="Caption Char"/>
    <w:basedOn w:val="692"/>
    <w:link w:val="690"/>
    <w:uiPriority w:val="99"/>
  </w:style>
  <w:style w:type="table" w:styleId="694">
    <w:name w:val="Table Grid Light"/>
    <w:basedOn w:val="83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3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00">
    <w:name w:val="Grid Table 1 Light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08">
    <w:name w:val="Grid Table 2 - Accent 1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09">
    <w:name w:val="Grid Table 2 - Accent 2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10">
    <w:name w:val="Grid Table 2 - Accent 3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11">
    <w:name w:val="Grid Table 2 - Accent 4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12">
    <w:name w:val="Grid Table 2 - Accent 5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13">
    <w:name w:val="Grid Table 2 - Accent 6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14">
    <w:name w:val="Grid Table 3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5">
    <w:name w:val="Grid Table 3 - Accent 1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6">
    <w:name w:val="Grid Table 3 - Accent 2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7">
    <w:name w:val="Grid Table 3 - Accent 3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3 - Accent 4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3 - Accent 5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3 - Accent 6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4"/>
    <w:basedOn w:val="83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22">
    <w:name w:val="Grid Table 4 - Accent 1"/>
    <w:basedOn w:val="83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23">
    <w:name w:val="Grid Table 4 - Accent 2"/>
    <w:basedOn w:val="83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24">
    <w:name w:val="Grid Table 4 - Accent 3"/>
    <w:basedOn w:val="83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25">
    <w:name w:val="Grid Table 4 - Accent 4"/>
    <w:basedOn w:val="83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26">
    <w:name w:val="Grid Table 4 - Accent 5"/>
    <w:basedOn w:val="83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27">
    <w:name w:val="Grid Table 4 - Accent 6"/>
    <w:basedOn w:val="83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28">
    <w:name w:val="Grid Table 5 Dark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729">
    <w:name w:val="Grid Table 5 Dark- Accent 1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730">
    <w:name w:val="Grid Table 5 Dark - Accent 2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731">
    <w:name w:val="Grid Table 5 Dark - Accent 3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732">
    <w:name w:val="Grid Table 5 Dark- Accent 4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733">
    <w:name w:val="Grid Table 5 Dark - Accent 5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734">
    <w:name w:val="Grid Table 5 Dark - Accent 6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735">
    <w:name w:val="Grid Table 6 Colorful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43">
    <w:name w:val="Grid Table 7 Colorful - Accent 1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44">
    <w:name w:val="Grid Table 7 Colorful - Accent 2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45">
    <w:name w:val="Grid Table 7 Colorful - Accent 3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46">
    <w:name w:val="Grid Table 7 Colorful - Accent 4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47">
    <w:name w:val="Grid Table 7 Colorful - Accent 5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48">
    <w:name w:val="Grid Table 7 Colorful - Accent 6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49">
    <w:name w:val="List Table 1 Light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50">
    <w:name w:val="List Table 1 Light - Accent 1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51">
    <w:name w:val="List Table 1 Light - Accent 2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52">
    <w:name w:val="List Table 1 Light - Accent 3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53">
    <w:name w:val="List Table 1 Light - Accent 4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54">
    <w:name w:val="List Table 1 Light - Accent 5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55">
    <w:name w:val="List Table 1 Light - Accent 6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56">
    <w:name w:val="List Table 2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57">
    <w:name w:val="List Table 2 - Accent 1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58">
    <w:name w:val="List Table 2 - Accent 2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59">
    <w:name w:val="List Table 2 - Accent 3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60">
    <w:name w:val="List Table 2 - Accent 4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61">
    <w:name w:val="List Table 2 - Accent 5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62">
    <w:name w:val="List Table 2 - Accent 6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63">
    <w:name w:val="List Table 3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85">
    <w:name w:val="List Table 6 Colorful - Accent 1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86">
    <w:name w:val="List Table 6 Colorful - Accent 2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87">
    <w:name w:val="List Table 6 Colorful - Accent 3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88">
    <w:name w:val="List Table 6 Colorful - Accent 4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89">
    <w:name w:val="List Table 6 Colorful - Accent 5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90">
    <w:name w:val="List Table 6 Colorful - Accent 6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91">
    <w:name w:val="List Table 7 Colorful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3">
    <w:name w:val="List Table 7 Colorful - Accent 2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4">
    <w:name w:val="List Table 7 Colorful - Accent 3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5">
    <w:name w:val="List Table 7 Colorful - Accent 4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6">
    <w:name w:val="List Table 7 Colorful - Accent 5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7">
    <w:name w:val="List Table 7 Colorful - Accent 6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8">
    <w:name w:val="Lined - Accent"/>
    <w:basedOn w:val="83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799">
    <w:name w:val="Lined - Accent 1"/>
    <w:basedOn w:val="83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800">
    <w:name w:val="Lined - Accent 2"/>
    <w:basedOn w:val="83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801">
    <w:name w:val="Lined - Accent 3"/>
    <w:basedOn w:val="83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802">
    <w:name w:val="Lined - Accent 4"/>
    <w:basedOn w:val="83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803">
    <w:name w:val="Lined - Accent 5"/>
    <w:basedOn w:val="83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804">
    <w:name w:val="Lined - Accent 6"/>
    <w:basedOn w:val="83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805">
    <w:name w:val="Bordered &amp; Lined - Accent"/>
    <w:basedOn w:val="83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806">
    <w:name w:val="Bordered &amp; Lined - Accent 1"/>
    <w:basedOn w:val="83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807">
    <w:name w:val="Bordered &amp; Lined - Accent 2"/>
    <w:basedOn w:val="83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808">
    <w:name w:val="Bordered &amp; Lined - Accent 3"/>
    <w:basedOn w:val="83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809">
    <w:name w:val="Bordered &amp; Lined - Accent 4"/>
    <w:basedOn w:val="83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810">
    <w:name w:val="Bordered &amp; Lined - Accent 5"/>
    <w:basedOn w:val="83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811">
    <w:name w:val="Bordered &amp; Lined - Accent 6"/>
    <w:basedOn w:val="83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812">
    <w:name w:val="Bordered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13">
    <w:name w:val="Bordered - Accent 1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14">
    <w:name w:val="Bordered - Accent 2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15">
    <w:name w:val="Bordered - Accent 3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16">
    <w:name w:val="Bordered - Accent 4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17">
    <w:name w:val="Bordered - Accent 5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18">
    <w:name w:val="Bordered - Accent 6"/>
    <w:basedOn w:val="83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rPr>
      <w:sz w:val="18"/>
    </w:rPr>
    <w:pPr>
      <w:spacing w:lineRule="auto" w:line="240" w:after="40"/>
    </w:p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basedOn w:val="838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rPr>
      <w:sz w:val="20"/>
    </w:rPr>
    <w:pPr>
      <w:spacing w:lineRule="auto" w:line="240" w:after="0"/>
    </w:p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basedOn w:val="838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  <w:rPr>
      <w:rFonts w:eastAsiaTheme="minorEastAsia"/>
      <w:lang w:eastAsia="ru-RU"/>
    </w:rPr>
  </w:style>
  <w:style w:type="character" w:styleId="838" w:default="1">
    <w:name w:val="Default Paragraph Font"/>
    <w:uiPriority w:val="1"/>
    <w:semiHidden/>
    <w:unhideWhenUsed/>
  </w:style>
  <w:style w:type="table" w:styleId="8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0" w:default="1">
    <w:name w:val="No List"/>
    <w:uiPriority w:val="99"/>
    <w:semiHidden/>
    <w:unhideWhenUsed/>
  </w:style>
  <w:style w:type="paragraph" w:styleId="841">
    <w:name w:val="Normal (Web)"/>
    <w:basedOn w:val="837"/>
    <w:uiPriority w:val="99"/>
    <w:unhideWhenUsed/>
    <w:rPr>
      <w:rFonts w:ascii="Times New Roman" w:hAnsi="Times New Roman" w:cs="Times New Roman" w:eastAsia="Times New Roman"/>
      <w:sz w:val="24"/>
      <w:szCs w:val="24"/>
    </w:rPr>
    <w:pPr>
      <w:spacing w:lineRule="auto" w:line="240" w:after="100" w:afterAutospacing="1" w:before="100" w:beforeAutospacing="1"/>
    </w:pPr>
  </w:style>
  <w:style w:type="paragraph" w:styleId="842">
    <w:name w:val="No Spacing"/>
    <w:qFormat/>
    <w:uiPriority w:val="1"/>
    <w:rPr>
      <w:rFonts w:eastAsiaTheme="minorEastAsia"/>
      <w:lang w:eastAsia="ru-RU"/>
    </w:rPr>
    <w:pPr>
      <w:spacing w:lineRule="auto" w:line="240" w:after="0"/>
    </w:pPr>
  </w:style>
  <w:style w:type="paragraph" w:styleId="843">
    <w:name w:val="List Paragraph"/>
    <w:basedOn w:val="837"/>
    <w:qFormat/>
    <w:uiPriority w:val="34"/>
    <w:rPr>
      <w:rFonts w:eastAsiaTheme="minorHAnsi"/>
      <w:lang w:eastAsia="en-US"/>
    </w:rPr>
    <w:pPr>
      <w:contextualSpacing w:val="true"/>
      <w:ind w:left="720"/>
    </w:pPr>
  </w:style>
  <w:style w:type="table" w:styleId="844">
    <w:name w:val="Table Grid"/>
    <w:basedOn w:val="839"/>
    <w:rPr>
      <w:rFonts w:eastAsiaTheme="minorEastAsia"/>
      <w:lang w:eastAsia="ru-RU"/>
    </w:rPr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revision>6</cp:revision>
  <dcterms:created xsi:type="dcterms:W3CDTF">2025-10-09T05:05:00Z</dcterms:created>
  <dcterms:modified xsi:type="dcterms:W3CDTF">2025-10-10T03:54:08Z</dcterms:modified>
</cp:coreProperties>
</file>